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7B2E" w14:textId="44D1646E" w:rsidR="002E06F3" w:rsidRDefault="002E06F3">
      <w:pPr>
        <w:spacing w:after="100" w:afterAutospacing="1"/>
        <w:rPr>
          <w:rFonts w:asciiTheme="majorHAnsi" w:hAnsiTheme="majorHAnsi" w:cstheme="majorHAnsi"/>
          <w:color w:val="3A3A3A" w:themeColor="background2" w:themeShade="40"/>
          <w:sz w:val="40"/>
          <w:lang w:val="es-ES"/>
        </w:rPr>
      </w:pPr>
      <w:r w:rsidRPr="002E06F3">
        <w:rPr>
          <w:rFonts w:asciiTheme="majorHAnsi" w:hAnsiTheme="majorHAnsi" w:cstheme="majorHAnsi"/>
          <w:color w:val="3A3A3A" w:themeColor="background2" w:themeShade="40"/>
          <w:sz w:val="40"/>
          <w:lang w:val="es-ES"/>
        </w:rPr>
        <w:t>VERA</w:t>
      </w:r>
    </w:p>
    <w:p w14:paraId="3712581A" w14:textId="3006B03F" w:rsidR="00F70A8A" w:rsidRPr="002E06F3" w:rsidRDefault="002E06F3">
      <w:pPr>
        <w:spacing w:after="100" w:afterAutospacing="1"/>
        <w:rPr>
          <w:rFonts w:ascii="Futura Std Book" w:hAnsi="Futura Std Book" w:cs="Futura Std Medium"/>
          <w:color w:val="EB8215"/>
          <w:sz w:val="19"/>
          <w:szCs w:val="18"/>
          <w:lang w:val="es-ES"/>
        </w:rPr>
      </w:pPr>
      <w:r>
        <w:rPr>
          <w:rFonts w:asciiTheme="majorHAnsi" w:hAnsiTheme="majorHAnsi" w:cstheme="majorHAnsi"/>
          <w:strike/>
          <w:noProof/>
          <w:color w:val="E8E8E8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767DC27C">
                <wp:simplePos x="0" y="0"/>
                <wp:positionH relativeFrom="column">
                  <wp:posOffset>16510</wp:posOffset>
                </wp:positionH>
                <wp:positionV relativeFrom="paragraph">
                  <wp:posOffset>224790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9D06E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7.7pt" to="49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" strokecolor="#393939 [814]" strokeweight=".5pt">
                <v:stroke joinstyle="miter"/>
              </v:line>
            </w:pict>
          </mc:Fallback>
        </mc:AlternateContent>
      </w:r>
      <w:r w:rsidRPr="002E06F3">
        <w:rPr>
          <w:rFonts w:cstheme="minorHAnsi"/>
          <w:b/>
          <w:color w:val="EB8215"/>
          <w:sz w:val="18"/>
          <w:szCs w:val="18"/>
          <w:lang w:val="es-ES"/>
        </w:rPr>
        <w:t xml:space="preserve">CERRADURA </w:t>
      </w:r>
      <w:r w:rsidRPr="002E06F3">
        <w:rPr>
          <w:rFonts w:cstheme="minorHAnsi"/>
          <w:b/>
          <w:color w:val="EB8215"/>
          <w:sz w:val="18"/>
          <w:szCs w:val="18"/>
          <w:lang w:val="es-ES"/>
        </w:rPr>
        <w:t>ELECTRÓNICA CON CÓDIGO Y FUNCIONAMIENTO A PILAS PARA CERRADURAS EMBUTIDAS</w:t>
      </w:r>
    </w:p>
    <w:p w14:paraId="55CABDA7" w14:textId="77777777" w:rsidR="00F70A8A" w:rsidRDefault="002E06F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CARACTERÍSTICAS</w:t>
      </w:r>
    </w:p>
    <w:p w14:paraId="5DDA9232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Cerradura de montaje electrónica con código.</w:t>
      </w:r>
    </w:p>
    <w:p w14:paraId="252782E6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Se puede combinar con una cerradura embutida.</w:t>
      </w:r>
    </w:p>
    <w:p w14:paraId="77D57942" w14:textId="77777777" w:rsidR="00F70A8A" w:rsidRDefault="002E06F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Funciona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pilas</w:t>
      </w:r>
      <w:proofErr w:type="spellEnd"/>
      <w:r>
        <w:rPr>
          <w:rFonts w:ascii="Calibri" w:hAnsi="Calibri" w:cs="Calibri"/>
        </w:rPr>
        <w:t>.</w:t>
      </w:r>
    </w:p>
    <w:p w14:paraId="5399D2A9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Compartimento de pilas a prueba de vandalismo.</w:t>
      </w:r>
    </w:p>
    <w:p w14:paraId="4F3376A2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Montaje sobre superficie plana, en el perfil de la puerta o en el revestimiento de la puerta</w:t>
      </w:r>
    </w:p>
    <w:p w14:paraId="045B0B82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Posibilidad de usar manillas diferentes.</w:t>
      </w:r>
    </w:p>
    <w:p w14:paraId="33D527DC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Opción de teclado de una cara con cubierta protectora o de doble cara</w:t>
      </w:r>
    </w:p>
    <w:p w14:paraId="1366EE27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Posibilidad de hasta 100 códigos de entrada y salida diferentes.</w:t>
      </w:r>
    </w:p>
    <w:p w14:paraId="6ECB0FBA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Permite la salida libre mediante la manilla.</w:t>
      </w:r>
    </w:p>
    <w:p w14:paraId="7F27504C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Posibilidad de código de apertura permanente.</w:t>
      </w:r>
    </w:p>
    <w:p w14:paraId="22406C05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Indicador de advertencia de "batería baja".</w:t>
      </w:r>
    </w:p>
    <w:p w14:paraId="1C7CD1C3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Disponible en color plata y RAL 9005.</w:t>
      </w:r>
    </w:p>
    <w:p w14:paraId="7B87E66D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Diseñado y producido en Europa o Estados Unidos.</w:t>
      </w:r>
    </w:p>
    <w:p w14:paraId="279FD378" w14:textId="77777777" w:rsidR="00F70A8A" w:rsidRDefault="002E06F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PRESTACIONES</w:t>
      </w:r>
    </w:p>
    <w:p w14:paraId="39805D6A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bookmarkStart w:id="0" w:name="_Hlk515625823"/>
      <w:bookmarkStart w:id="1" w:name="_Hlk515626257"/>
      <w:r w:rsidRPr="002E06F3">
        <w:rPr>
          <w:rFonts w:ascii="Calibri" w:hAnsi="Calibri" w:cs="Calibri"/>
          <w:lang w:val="es-ES"/>
        </w:rPr>
        <w:t>Desarrollado para uso en exteriores.</w:t>
      </w:r>
    </w:p>
    <w:p w14:paraId="00EA2DBF" w14:textId="77777777" w:rsid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IP66</w:t>
      </w:r>
    </w:p>
    <w:p w14:paraId="0C8C758A" w14:textId="163EC3CC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Probado para al menos 500 000 movimientos.</w:t>
      </w:r>
    </w:p>
    <w:p w14:paraId="0385F44C" w14:textId="77777777" w:rsidR="00F70A8A" w:rsidRDefault="002E06F3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Sin </w:t>
      </w:r>
      <w:proofErr w:type="spellStart"/>
      <w:r>
        <w:rPr>
          <w:rFonts w:ascii="Calibri" w:hAnsi="Calibri" w:cs="Calibri"/>
        </w:rPr>
        <w:t>necesidad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mantenimiento</w:t>
      </w:r>
      <w:proofErr w:type="spellEnd"/>
    </w:p>
    <w:p w14:paraId="44F9ADD3" w14:textId="77777777" w:rsidR="00F70A8A" w:rsidRPr="002E06F3" w:rsidRDefault="002E06F3">
      <w:pPr>
        <w:pStyle w:val="Bullets"/>
        <w:spacing w:after="0"/>
        <w:ind w:left="714" w:hanging="357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Garantía</w:t>
      </w:r>
      <w:bookmarkEnd w:id="0"/>
      <w:r w:rsidRPr="002E06F3">
        <w:rPr>
          <w:rFonts w:ascii="Calibri" w:hAnsi="Calibri" w:cs="Calibri"/>
          <w:lang w:val="es-ES"/>
        </w:rPr>
        <w:t xml:space="preserve"> del fabricante de 2 años.</w:t>
      </w:r>
    </w:p>
    <w:p w14:paraId="398E438E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Vida útil del paquete de pilas: 150 000 ciclos de apertura/cierre.</w:t>
      </w:r>
    </w:p>
    <w:bookmarkEnd w:id="1"/>
    <w:p w14:paraId="21C27881" w14:textId="77777777" w:rsidR="00F70A8A" w:rsidRDefault="002E06F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INSTALACIÓN</w:t>
      </w:r>
    </w:p>
    <w:p w14:paraId="3C959F24" w14:textId="77777777" w:rsidR="00F70A8A" w:rsidRDefault="002E06F3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Montaje mediante 2 tornillos.</w:t>
      </w:r>
    </w:p>
    <w:p w14:paraId="5306FD58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bookmarkStart w:id="3" w:name="_Hlk526414552"/>
      <w:r w:rsidRPr="002E06F3">
        <w:rPr>
          <w:rFonts w:ascii="Calibri" w:hAnsi="Calibri" w:cs="Calibri"/>
          <w:lang w:val="es-ES"/>
        </w:rPr>
        <w:t>Programación mediante código PIN maestro.</w:t>
      </w:r>
    </w:p>
    <w:p w14:paraId="4E320DEE" w14:textId="77777777" w:rsidR="00F70A8A" w:rsidRDefault="002E06F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Vídeo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instalación</w:t>
      </w:r>
      <w:proofErr w:type="spellEnd"/>
      <w:r>
        <w:rPr>
          <w:rFonts w:ascii="Calibri" w:hAnsi="Calibri" w:cs="Calibri"/>
        </w:rPr>
        <w:t xml:space="preserve"> disponible.</w:t>
      </w:r>
    </w:p>
    <w:bookmarkEnd w:id="2"/>
    <w:bookmarkEnd w:id="3"/>
    <w:p w14:paraId="714D520D" w14:textId="77777777" w:rsidR="00F70A8A" w:rsidRDefault="002E06F3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3E51C0D2" w14:textId="77777777" w:rsidR="00F70A8A" w:rsidRDefault="002E06F3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Carcasa de aluminio. </w:t>
      </w:r>
    </w:p>
    <w:p w14:paraId="615F1B1E" w14:textId="77777777" w:rsidR="00F70A8A" w:rsidRPr="002E06F3" w:rsidRDefault="002E06F3">
      <w:pPr>
        <w:pStyle w:val="Bullets"/>
        <w:numPr>
          <w:ilvl w:val="1"/>
          <w:numId w:val="1"/>
        </w:numPr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 xml:space="preserve">Versión negra: recubrimiento en polvo conforme al estándar de calidad de </w:t>
      </w:r>
      <w:proofErr w:type="spellStart"/>
      <w:r w:rsidRPr="002E06F3">
        <w:rPr>
          <w:rFonts w:ascii="Calibri" w:hAnsi="Calibri" w:cs="Calibri"/>
          <w:lang w:val="es-ES"/>
        </w:rPr>
        <w:t>Qualicoat</w:t>
      </w:r>
      <w:proofErr w:type="spellEnd"/>
    </w:p>
    <w:p w14:paraId="18A03E25" w14:textId="77777777" w:rsidR="00F70A8A" w:rsidRDefault="002E06F3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Versión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plateada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anodización</w:t>
      </w:r>
      <w:proofErr w:type="spellEnd"/>
    </w:p>
    <w:p w14:paraId="567CC8AA" w14:textId="77777777" w:rsidR="00F70A8A" w:rsidRPr="002E06F3" w:rsidRDefault="002E06F3">
      <w:pPr>
        <w:pStyle w:val="Bullets"/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Resistencia a la corrosión de 1000 horas en la prueba de niebla salina según la norma ISO 9227.</w:t>
      </w:r>
      <w:r w:rsidRPr="002E06F3">
        <w:rPr>
          <w:rFonts w:ascii="Calibri" w:hAnsi="Calibri" w:cs="Calibri"/>
          <w:lang w:val="es-ES"/>
        </w:rPr>
        <w:tab/>
      </w:r>
    </w:p>
    <w:p w14:paraId="0C2AF695" w14:textId="77777777" w:rsidR="00F70A8A" w:rsidRDefault="002E06F3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Botones</w:t>
      </w:r>
      <w:proofErr w:type="spellEnd"/>
      <w:r>
        <w:rPr>
          <w:rFonts w:ascii="Calibri" w:hAnsi="Calibri" w:cs="Calibri"/>
        </w:rPr>
        <w:t>:</w:t>
      </w:r>
    </w:p>
    <w:p w14:paraId="674256EB" w14:textId="77777777" w:rsidR="00F70A8A" w:rsidRPr="002E06F3" w:rsidRDefault="002E06F3">
      <w:pPr>
        <w:pStyle w:val="Bullets"/>
        <w:numPr>
          <w:ilvl w:val="1"/>
          <w:numId w:val="1"/>
        </w:numPr>
        <w:rPr>
          <w:rFonts w:ascii="Calibri" w:hAnsi="Calibri" w:cs="Calibri"/>
          <w:lang w:val="es-ES"/>
        </w:rPr>
      </w:pPr>
      <w:r w:rsidRPr="002E06F3">
        <w:rPr>
          <w:rFonts w:ascii="Calibri" w:hAnsi="Calibri" w:cs="Calibri"/>
          <w:lang w:val="es-ES"/>
        </w:rPr>
        <w:t>Versión negra: aluminio anodizado negro.</w:t>
      </w:r>
    </w:p>
    <w:p w14:paraId="770D5653" w14:textId="77777777" w:rsidR="00F70A8A" w:rsidRDefault="002E06F3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Versión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plateada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acero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inoxidable</w:t>
      </w:r>
      <w:proofErr w:type="spellEnd"/>
      <w:r>
        <w:rPr>
          <w:rFonts w:ascii="Calibri" w:hAnsi="Calibri" w:cs="Calibri"/>
        </w:rPr>
        <w:t>.</w:t>
      </w:r>
    </w:p>
    <w:p w14:paraId="55B5B001" w14:textId="77777777" w:rsidR="00F70A8A" w:rsidRDefault="00F70A8A"/>
    <w:p w14:paraId="24724DC4" w14:textId="77777777" w:rsidR="00F70A8A" w:rsidRDefault="00F70A8A"/>
    <w:sectPr w:rsidR="00F70A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744" w14:textId="77777777" w:rsidR="002E06F3" w:rsidRDefault="002E06F3">
      <w:pPr>
        <w:spacing w:after="0" w:line="240" w:lineRule="auto"/>
      </w:pPr>
      <w:r>
        <w:separator/>
      </w:r>
    </w:p>
  </w:endnote>
  <w:endnote w:type="continuationSeparator" w:id="0">
    <w:p w14:paraId="4C19CA31" w14:textId="77777777" w:rsidR="002E06F3" w:rsidRDefault="002E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F70A8A" w:rsidRDefault="002E06F3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6BB19A" wp14:editId="448937DD">
          <wp:simplePos x="0" y="0"/>
          <wp:positionH relativeFrom="column">
            <wp:posOffset>3078480</wp:posOffset>
          </wp:positionH>
          <wp:positionV relativeFrom="paragraph">
            <wp:posOffset>-6985</wp:posOffset>
          </wp:positionV>
          <wp:extent cx="3200400" cy="571500"/>
          <wp:effectExtent l="0" t="0" r="0" b="12700"/>
          <wp:wrapNone/>
          <wp:docPr id="4" name="Tekstvak 4"/>
          <wp:cNvGraphicFramePr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off x="0" y="0"/>
                    <a:ext cx="3200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 w14:paraId="22C709BB" w14:textId="77777777" w:rsidR="00F70A8A" w:rsidRDefault="002E06F3">
                      <w:pPr>
                        <w:pStyle w:val="Pa0"/>
                        <w:jc w:val="right"/>
                        <w:rPr>
                          <w:rFonts w:ascii="Futura Std Book" w:hAnsi="Futura Std Book" w:cs="Futura Std Book"/>
                          <w:color w:val="262626" w:themeColor="text1" w:themeTint="D9"/>
                          <w:sz w:val="20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>Mannebeekstraat 21, 8790 Waregem - Bélgica</w:t>
                      </w:r>
                    </w:p>
                    <w:p w14:paraId="48CD1650" w14:textId="77777777" w:rsidR="00F70A8A" w:rsidRDefault="002E06F3">
                      <w:pPr>
                        <w:jc w:val="right"/>
                        <w:rPr>
                          <w:color w:val="EB8215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 xml:space="preserve">Tel. +32(0)56 77 27 66, fax. +32(0)56 77 69 26, info@locinox.com, </w:t>
                      </w:r>
                      <w:r>
                        <w:rPr>
                          <w:rStyle w:val="A1"/>
                          <w:b/>
                          <w:color w:val="EB8215"/>
                        </w:rPr>
                        <w:t>www.locinox.com</w:t>
                      </w:r>
                    </w:p>
                  </w:txbxContent>
                </wps:txbx>
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s:bodyPr>
              </wps:wsp>
            </a:graphicData>
          </a:graphic>
        </wp:anchor>
      </w:drawing>
    </w:r>
    <w:r>
      <w:rPr>
        <w:rFonts w:ascii="Futura Std Book" w:hAnsi="Futura Std Book" w:cs="Futura Std Medium"/>
        <w:noProof/>
        <w:color w:val="E8E8E8" w:themeColor="background2"/>
        <w:sz w:val="40"/>
      </w:rPr>
      <w:drawing>
        <wp:anchor distT="0" distB="0" distL="114300" distR="114300" simplePos="0" relativeHeight="251661312" behindDoc="0" locked="0" layoutInCell="1" allowOverlap="1" wp14:anchorId="5F30E7BC" wp14:editId="7236F7F4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6210935" cy="2540"/>
          <wp:effectExtent l="0" t="0" r="37465" b="48260"/>
          <wp:wrapNone/>
          <wp:docPr id="11" name="Rechte verbindingslijn 11"/>
          <wp:cNvGraphicFramePr/>
          <a:graphic xmlns:a="http://schemas.openxmlformats.org/drawingml/2006/main">
            <a:graphicData uri="http://schemas.microsoft.com/office/word/2010/wordprocessingShape">
              <wps:wsp>
                <wps:cNvCnPr/>
                <wps:spPr>
                  <a:xfrm>
                    <a:off x="0" y="0"/>
                    <a:ext cx="6210935" cy="2540"/>
                  </a:xfrm>
                  <a:prstGeom prst="line">
                    <a:avLst/>
                  </a:prstGeom>
                  <a:ln>
                    <a:solidFill>
                      <a:schemeClr val="bg2">
                        <a:lumMod val="25000"/>
                      </a:schemeClr>
                    </a:solidFill>
                  </a:ln>
                </wps:spPr>
                <wps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s:style>
                <wps:bodyPr/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F75E" w14:textId="77777777" w:rsidR="00F70A8A" w:rsidRDefault="00F70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7C05" w14:textId="77777777" w:rsidR="002E06F3" w:rsidRDefault="002E06F3">
      <w:pPr>
        <w:spacing w:after="0" w:line="240" w:lineRule="auto"/>
      </w:pPr>
      <w:r>
        <w:separator/>
      </w:r>
    </w:p>
  </w:footnote>
  <w:footnote w:type="continuationSeparator" w:id="0">
    <w:p w14:paraId="144B550C" w14:textId="77777777" w:rsidR="002E06F3" w:rsidRDefault="002E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56A88AD4" w:rsidR="00F70A8A" w:rsidRPr="002E06F3" w:rsidRDefault="002E06F3">
    <w:pPr>
      <w:spacing w:after="100" w:afterAutospacing="1"/>
      <w:jc w:val="right"/>
      <w:rPr>
        <w:rFonts w:cstheme="minorHAnsi"/>
        <w:color w:val="ADADAD" w:themeColor="background2" w:themeShade="BF"/>
        <w:sz w:val="24"/>
        <w:lang w:val="es-ES"/>
      </w:rPr>
    </w:pPr>
    <w:r w:rsidRPr="002E06F3">
      <w:rPr>
        <w:rFonts w:cstheme="minorHAnsi"/>
        <w:color w:val="ADADAD" w:themeColor="background2" w:themeShade="BF"/>
        <w:sz w:val="24"/>
        <w:lang w:val="es-ES"/>
      </w:rPr>
      <w:t>ESPECIFICACIONES DE ARQUITECTURA E INGENIERÍA</w:t>
    </w:r>
    <w:r w:rsidRPr="002E06F3">
      <w:rPr>
        <w:rFonts w:cstheme="minorHAnsi"/>
        <w:color w:val="ADADAD" w:themeColor="background2" w:themeShade="BF"/>
        <w:sz w:val="24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183BED"/>
    <w:rsid w:val="001923B2"/>
    <w:rsid w:val="002E06F3"/>
    <w:rsid w:val="002E4580"/>
    <w:rsid w:val="003E3C1A"/>
    <w:rsid w:val="00A37390"/>
    <w:rsid w:val="00AD3F5A"/>
    <w:rsid w:val="00CB781A"/>
    <w:rsid w:val="00D85B19"/>
    <w:rsid w:val="00E83697"/>
    <w:rsid w:val="00F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C1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C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C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6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3</cp:revision>
  <dcterms:created xsi:type="dcterms:W3CDTF">2024-05-30T14:53:00Z</dcterms:created>
  <dcterms:modified xsi:type="dcterms:W3CDTF">2024-06-03T08:27:00Z</dcterms:modified>
</cp:coreProperties>
</file>